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61" w:rsidRDefault="00F24961" w:rsidP="00F249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Приложение к решению Совета депутатов</w:t>
      </w:r>
    </w:p>
    <w:p w:rsidR="00F24961" w:rsidRDefault="00F24961" w:rsidP="00F24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муниципального образования</w:t>
      </w:r>
    </w:p>
    <w:p w:rsidR="00F24961" w:rsidRDefault="00F24961" w:rsidP="00F24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Оренбургской области</w:t>
      </w:r>
    </w:p>
    <w:p w:rsidR="00F24961" w:rsidRDefault="00F24961" w:rsidP="00F24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 18 июля 2012 г. N 220</w:t>
      </w:r>
    </w:p>
    <w:p w:rsidR="00F24961" w:rsidRDefault="00F24961" w:rsidP="00F24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961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961">
        <w:rPr>
          <w:rFonts w:ascii="Times New Roman" w:hAnsi="Times New Roman" w:cs="Times New Roman"/>
          <w:bCs/>
          <w:sz w:val="28"/>
          <w:szCs w:val="28"/>
        </w:rPr>
        <w:t>О ЕДИНОМ НАЛОГЕ НА ВМЕНЕННЫЙ ДОХОД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4961">
        <w:rPr>
          <w:rFonts w:ascii="Times New Roman" w:hAnsi="Times New Roman" w:cs="Times New Roman"/>
          <w:bCs/>
          <w:sz w:val="28"/>
          <w:szCs w:val="28"/>
        </w:rPr>
        <w:t>ДЛЯ ОТДЕЛЬНЫХ ВИДОВ ДЕЯТЕЛЬНОСТИ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bCs/>
          <w:sz w:val="28"/>
          <w:szCs w:val="28"/>
        </w:rPr>
        <w:t xml:space="preserve">I. </w:t>
      </w:r>
      <w:r w:rsidRPr="00F249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Общие положения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Настоящее Положение устанавливает виды предпринимательской деятельности, в отношении которых на территории </w:t>
      </w:r>
      <w:proofErr w:type="spell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Беляевского</w:t>
      </w:r>
      <w:proofErr w:type="spellEnd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Оренбургской области применяется система налогообложения в виде единого налога на вмененный доход для отдельных видов деятельности, и значения корректирующего коэффициента базовой доходности </w:t>
      </w:r>
      <w:hyperlink r:id="rId5" w:history="1">
        <w:r w:rsidRPr="00F249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</w:t>
        </w:r>
        <w:proofErr w:type="gramStart"/>
        <w:r w:rsidRPr="00F249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proofErr w:type="gramEnd"/>
      </w:hyperlink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6" w:history="1">
        <w:r w:rsidRPr="00F249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346.26</w:t>
        </w:r>
      </w:hyperlink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второй Налогового кодекса Российской Федерации.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II. Виды предпринимательской деятельности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оказания бытовых услуг, Коды видов деятельности в соответствии с Общероссийским классификатором видов деятельности и коды услуг в соответствии с Общероссийским </w:t>
      </w:r>
      <w:hyperlink r:id="rId7" w:history="1">
        <w:r w:rsidRPr="00F249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классификатором</w:t>
        </w:r>
      </w:hyperlink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б) оказания ветеринарных услуг;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в) оказания услуг по ремонту, техническому обслуживанию и мойке автомототранспортных средств;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г)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</w:t>
      </w:r>
      <w:proofErr w:type="gram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исключением штрафных автостоянок);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д)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и)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к) распространения наружной рекламы с использованием рекламных конструкций;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л) размещения рекламы с использованием внешних и внутренних поверхностей транспортных средств;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м)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н)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III. Значения корректирующего коэффициента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базовой доходности К</w:t>
      </w:r>
      <w:proofErr w:type="gramStart"/>
      <w:r w:rsidRPr="00F249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proofErr w:type="gramEnd"/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 определении величины базовой доходности базовая доходность, указанная в </w:t>
      </w:r>
      <w:hyperlink r:id="rId8" w:history="1">
        <w:r w:rsidRPr="00F249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 статьи 346.29</w:t>
        </w:r>
      </w:hyperlink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корректируется (умножается) на коэффициент </w:t>
      </w:r>
      <w:hyperlink r:id="rId9" w:history="1">
        <w:r w:rsidRPr="00F249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</w:t>
        </w:r>
        <w:proofErr w:type="gramStart"/>
        <w:r w:rsidRPr="00F249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proofErr w:type="gramEnd"/>
      </w:hyperlink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определяемый по следующей формуле: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К2</w:t>
      </w:r>
      <w:proofErr w:type="gram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А</w:t>
      </w:r>
      <w:proofErr w:type="gramEnd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В x С x Д x V, где:</w:t>
      </w: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961" w:rsidRPr="00F24961" w:rsidRDefault="00F24961" w:rsidP="00F2496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А - индекс, учитывающий особенности видов предпринимательской деятельности, установленный в размере: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бытовых услуг - 1,05;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ветеринарных услуг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оказание услуг по ремонту, техническому обслуживанию и мойке автомототранспортных средств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автотранспортных услуг по перевозке грузов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автотранспортных услуг по перевозке пассажиров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розничная торговля, осуществляемая через объекты стационарной торговой сети, имеющие торговые залы - 0,85;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- 0,8;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- 0,85;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развозная и разносная розничная торговля - 0,8;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товаров с использованием торговых автоматов - 0,85;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общественного питания через объект организации общественного питания, имеющий зал обслуживания посетителей, - 1,05;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общественного питания через объект организации общественного питания, не имеющий зала обслуживания посетителей, - 1,05;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- 0,1;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наружной рекламы с использованием рекламных конструкций с автоматической сменой изображения - 0,1;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наружной рекламы с использованием электронных табло - 0,1;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рекламы с использованием внешних и внутренних поверхностей транспортных средств - 0,1;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по временному размещению и проживанию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</w:t>
      </w: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питания, если площадь земельного участка не превышает 10 квадратных метров,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- 1,0.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В - индекс, учитывающий особенности ведения предпринимательской деятельности в зависимости от типа населенного пункта, установлен в размере: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в селе Беляевка: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услуг по ремонту, техническому обслуживанию и мойке автомототранспортных средств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автотранспортных услуг по перевозке грузов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автотранспортных услуг по перевозке пассажиров - 0,9;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услуг общественного питания через объект организации общественного питания, имеющий зал обслуживания посетителей, - 0,55;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услуг общественного питания через объект организации общественного питания, не имеющий зала обслуживания посетителей, - 0,55;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для розничной торговли, осуществляемой через объекты стационарной торговой сети, имеющей торговые залы с площадью торгового зала не более 150 квадратных метров, - 0,55;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всем другим видам деятельности - 0,5;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в других населенных пунктах района: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услуг по ремонту, техническому обслуживанию и мойке автомототранспортных средств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услуг общественного питания через объект организации общественного питания, имеющий зал обслуживания посетителей, - 0,55;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услуг общественного питания через объект организации общественного питания, не имеющий зала обслуживания посетителей, - 0,55;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по всем другим видам деятельности - 0,5.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С - индекс, учитывающий размер торговой площади, установленный для розничной торговли, осуществляемой через объекты стационарной торговой сети, с площадью торгового зала не более 150 квадратных метров, и оказания услуг общественного питания через объект организации общественного питания, имеющий зал обслуживания посетителей, в размере: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площадь торгового зала до 100 кв. метров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площадь торгового зала свыше 100 кв. метров - 0,9.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фонде</w:t>
      </w:r>
      <w:proofErr w:type="gramEnd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оплаты труда не менее 25 процентов, устанавливается в размере 0,5;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V - индекс, учитывающий ассортимент товара при розничной торговле: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мотоциклы с мощностью двигателя до 112,5 кВт (150 л. с),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видеопродукция, строительные материалы, лесоматериалы, текстильные, трикотажные, швейные товары и</w:t>
      </w:r>
      <w:proofErr w:type="gramEnd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обувь,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- 1,0;</w:t>
      </w:r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специализированная торговля товарами детского ассортимента, фармацевтическими и медицинскими товарами,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- 0,6;</w:t>
      </w:r>
      <w:proofErr w:type="gramEnd"/>
    </w:p>
    <w:p w:rsidR="00F24961" w:rsidRPr="00F24961" w:rsidRDefault="00F24961" w:rsidP="00F2496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961">
        <w:rPr>
          <w:rFonts w:ascii="Times New Roman" w:hAnsi="Times New Roman" w:cs="Times New Roman"/>
          <w:color w:val="000000" w:themeColor="text1"/>
          <w:sz w:val="28"/>
          <w:szCs w:val="28"/>
        </w:rPr>
        <w:t>фрукты, овощи, смешанные товары и все остальные товары - 0,8.</w:t>
      </w:r>
    </w:p>
    <w:p w:rsidR="00674D6E" w:rsidRPr="00F24961" w:rsidRDefault="00674D6E" w:rsidP="00F24961">
      <w:pPr>
        <w:contextualSpacing/>
        <w:rPr>
          <w:color w:val="000000" w:themeColor="text1"/>
          <w:sz w:val="28"/>
          <w:szCs w:val="28"/>
        </w:rPr>
      </w:pPr>
    </w:p>
    <w:sectPr w:rsidR="00674D6E" w:rsidRPr="00F24961" w:rsidSect="00B13996">
      <w:pgSz w:w="11905" w:h="16838"/>
      <w:pgMar w:top="719" w:right="850" w:bottom="53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61"/>
    <w:rsid w:val="00674D6E"/>
    <w:rsid w:val="00B6608E"/>
    <w:rsid w:val="00F2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3EFA2A75FB9513F20202DC2AD89AE2DDFA9F88AF6D4E26D4F06516EC8AEE23D031B786031FB6DDB4C72DC9A880CFDD444154BE3356u3N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3EFA2A75FB9513F20202DC2AD89AE2DCF29582AF664E26D4F06516EC8AEE23C231EF880510ADD6E5886B9CA4u8N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3EFA2A75FB9513F20202DC2AD89AE2DDFA9F88AF6D4E26D4F06516EC8AEE23D031B784061AB5D2EBC238D8F08FC4CA5A444FA231573BuEN8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D3EFA2A75FB9513F20202DC2AD89AE2DDFA9F88AF6D4E26D4F06516EC8AEE23D031B784061AB4D6EBC238D8F08FC4CA5A444FA231573BuEN8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3EFA2A75FB9513F20202DC2AD89AE2DDFA9F88AF6D4E26D4F06516EC8AEE23D031B784061AB4D6EBC238D8F08FC4CA5A444FA231573BuEN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Капитонова Анастасия Романовна</dc:creator>
  <cp:lastModifiedBy>INET</cp:lastModifiedBy>
  <cp:revision>2</cp:revision>
  <dcterms:created xsi:type="dcterms:W3CDTF">2019-05-29T12:14:00Z</dcterms:created>
  <dcterms:modified xsi:type="dcterms:W3CDTF">2019-07-24T08:33:00Z</dcterms:modified>
</cp:coreProperties>
</file>